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2"/>
        </w:numPr>
        <w:bidi w:val="0"/>
        <w:spacing w:before="240" w:after="120"/>
        <w:ind w:hanging="0" w:left="0"/>
        <w:jc w:val="center"/>
        <w:rPr/>
      </w:pPr>
      <w:r>
        <w:rPr/>
        <w:t>Plato Sound Task Force</w:t>
      </w:r>
    </w:p>
    <w:p>
      <w:pPr>
        <w:pStyle w:val="Heading1"/>
        <w:numPr>
          <w:ilvl w:val="0"/>
          <w:numId w:val="2"/>
        </w:numPr>
        <w:ind w:hanging="0" w:left="0"/>
        <w:jc w:val="center"/>
        <w:rPr/>
      </w:pPr>
      <w:r>
        <w:rPr/>
        <w:t>Final Report</w:t>
      </w:r>
    </w:p>
    <w:p>
      <w:pPr>
        <w:pStyle w:val="Normal"/>
        <w:bidi w:val="0"/>
        <w:jc w:val="left"/>
        <w:rPr/>
      </w:pPr>
      <w:r>
        <w:rPr/>
      </w:r>
    </w:p>
    <w:p>
      <w:pPr>
        <w:pStyle w:val="Normal"/>
        <w:bidi w:val="0"/>
        <w:jc w:val="left"/>
        <w:rPr/>
      </w:pPr>
      <w:r>
        <w:rPr/>
        <w:t>4/</w:t>
      </w:r>
      <w:r>
        <w:rPr/>
        <w:t>15</w:t>
      </w:r>
      <w:r>
        <w:rPr/>
        <w:t>/2025</w:t>
      </w:r>
    </w:p>
    <w:p>
      <w:pPr>
        <w:pStyle w:val="Normal"/>
        <w:bidi w:val="0"/>
        <w:jc w:val="left"/>
        <w:rPr/>
      </w:pPr>
      <w:r>
        <w:rPr/>
      </w:r>
    </w:p>
    <w:p>
      <w:pPr>
        <w:pStyle w:val="Heading1"/>
        <w:numPr>
          <w:ilvl w:val="0"/>
          <w:numId w:val="2"/>
        </w:numPr>
        <w:bidi w:val="0"/>
        <w:ind w:hanging="0" w:left="0"/>
        <w:jc w:val="left"/>
        <w:rPr/>
      </w:pPr>
      <w:r>
        <w:rPr/>
        <w:t>Purpose</w:t>
      </w:r>
    </w:p>
    <w:p>
      <w:pPr>
        <w:pStyle w:val="BodyText"/>
        <w:bidi w:val="0"/>
        <w:jc w:val="left"/>
        <w:rPr/>
      </w:pPr>
      <w:r>
        <w:rPr/>
        <w:t xml:space="preserve">The purpose of this task force is to explore, analyze, and recommend changes to the Plato sound system in the large Lodge room.  Additionally, the task force will oversee implementation and recommend governance procedures.  The task force began its work in March 2025 and will disband once the upgraded system is implemented, hopefully in </w:t>
      </w:r>
      <w:r>
        <w:rPr/>
        <w:t xml:space="preserve">summer, </w:t>
      </w:r>
      <w:r>
        <w:rPr/>
        <w:t>2025.</w:t>
      </w:r>
    </w:p>
    <w:p>
      <w:pPr>
        <w:pStyle w:val="Heading1"/>
        <w:numPr>
          <w:ilvl w:val="0"/>
          <w:numId w:val="2"/>
        </w:numPr>
        <w:bidi w:val="0"/>
        <w:ind w:hanging="0" w:left="0"/>
        <w:jc w:val="left"/>
        <w:rPr/>
      </w:pPr>
      <w:r>
        <w:rPr/>
        <w:t xml:space="preserve">Key </w:t>
      </w:r>
      <w:r>
        <w:rPr/>
        <w:t>Stakeholders</w:t>
      </w:r>
    </w:p>
    <w:p>
      <w:pPr>
        <w:pStyle w:val="BodyText"/>
        <w:numPr>
          <w:ilvl w:val="0"/>
          <w:numId w:val="5"/>
        </w:numPr>
        <w:bidi w:val="0"/>
        <w:jc w:val="left"/>
        <w:rPr/>
      </w:pPr>
      <w:r>
        <w:rPr/>
        <w:t>Those groups that are expected to contribute significant resources to the project such as donation of existing equipment, donation of funding, or donation of labor.</w:t>
      </w:r>
    </w:p>
    <w:p>
      <w:pPr>
        <w:pStyle w:val="BodyText"/>
        <w:numPr>
          <w:ilvl w:val="1"/>
          <w:numId w:val="5"/>
        </w:numPr>
        <w:bidi w:val="0"/>
        <w:jc w:val="left"/>
        <w:rPr/>
      </w:pPr>
      <w:r>
        <w:rPr/>
        <w:t>MTA – Donation of infrastructure, provide installation labor, donation of funding via building assessments if needed</w:t>
      </w:r>
    </w:p>
    <w:p>
      <w:pPr>
        <w:pStyle w:val="BodyText"/>
        <w:numPr>
          <w:ilvl w:val="1"/>
          <w:numId w:val="5"/>
        </w:numPr>
        <w:bidi w:val="0"/>
        <w:jc w:val="left"/>
        <w:rPr/>
      </w:pPr>
      <w:r>
        <w:rPr/>
        <w:t>Scottish Rite – Donation of existing usable equipment (primarily owned by SR).  Gap funding for new equipment.  Note:   Much of the existing equipment (e.g. the mixer boards) were donated or ownership is otherwise unknown/forgotten.</w:t>
      </w:r>
    </w:p>
    <w:p>
      <w:pPr>
        <w:pStyle w:val="BodyText"/>
        <w:numPr>
          <w:ilvl w:val="1"/>
          <w:numId w:val="5"/>
        </w:numPr>
        <w:bidi w:val="0"/>
        <w:jc w:val="left"/>
        <w:rPr/>
      </w:pPr>
      <w:r>
        <w:rPr/>
        <w:t>AL5 – Primary funding for new equipment</w:t>
      </w:r>
    </w:p>
    <w:p>
      <w:pPr>
        <w:pStyle w:val="Heading1"/>
        <w:numPr>
          <w:ilvl w:val="0"/>
          <w:numId w:val="2"/>
        </w:numPr>
        <w:bidi w:val="0"/>
        <w:ind w:hanging="0" w:left="0"/>
        <w:jc w:val="left"/>
        <w:rPr/>
      </w:pPr>
      <w:r>
        <w:rPr/>
        <w:t>Membership</w:t>
      </w:r>
    </w:p>
    <w:p>
      <w:pPr>
        <w:pStyle w:val="BodyText"/>
        <w:bidi w:val="0"/>
        <w:jc w:val="left"/>
        <w:rPr/>
      </w:pPr>
      <w:r>
        <w:rPr/>
        <w:t>The members of the task force are representatives of the key stakeholder groups:</w:t>
      </w:r>
    </w:p>
    <w:p>
      <w:pPr>
        <w:pStyle w:val="BodyText"/>
        <w:numPr>
          <w:ilvl w:val="0"/>
          <w:numId w:val="3"/>
        </w:numPr>
        <w:bidi w:val="0"/>
        <w:jc w:val="left"/>
        <w:rPr/>
      </w:pPr>
      <w:r>
        <w:rPr/>
        <w:t>Shawn Hunter, Task Force Leader, AL5 SW and Scottish Rite Casting Coordinator</w:t>
      </w:r>
    </w:p>
    <w:p>
      <w:pPr>
        <w:pStyle w:val="BodyText"/>
        <w:numPr>
          <w:ilvl w:val="0"/>
          <w:numId w:val="3"/>
        </w:numPr>
        <w:bidi w:val="0"/>
        <w:jc w:val="left"/>
        <w:rPr/>
      </w:pPr>
      <w:r>
        <w:rPr/>
        <w:t>Erik Starksen, AL5 Worshipful Master</w:t>
      </w:r>
    </w:p>
    <w:p>
      <w:pPr>
        <w:pStyle w:val="BodyText"/>
        <w:numPr>
          <w:ilvl w:val="0"/>
          <w:numId w:val="3"/>
        </w:numPr>
        <w:bidi w:val="0"/>
        <w:jc w:val="left"/>
        <w:rPr/>
      </w:pPr>
      <w:r>
        <w:rPr/>
        <w:t>Jerry Johnson, Scottish Rite Venerable Master</w:t>
      </w:r>
    </w:p>
    <w:p>
      <w:pPr>
        <w:pStyle w:val="BodyText"/>
        <w:numPr>
          <w:ilvl w:val="0"/>
          <w:numId w:val="3"/>
        </w:numPr>
        <w:bidi w:val="0"/>
        <w:jc w:val="left"/>
        <w:rPr/>
      </w:pPr>
      <w:r>
        <w:rPr/>
        <w:t>Fred Perez, Plato Building Manager, AL5, Scottish Rite</w:t>
      </w:r>
    </w:p>
    <w:p>
      <w:pPr>
        <w:pStyle w:val="BodyText"/>
        <w:numPr>
          <w:ilvl w:val="0"/>
          <w:numId w:val="3"/>
        </w:numPr>
        <w:bidi w:val="0"/>
        <w:jc w:val="left"/>
        <w:rPr/>
      </w:pPr>
      <w:r>
        <w:rPr/>
        <w:t>Chris Posel, Scottish Rite Education Chair</w:t>
      </w:r>
    </w:p>
    <w:p>
      <w:pPr>
        <w:pStyle w:val="BodyText"/>
        <w:numPr>
          <w:ilvl w:val="0"/>
          <w:numId w:val="3"/>
        </w:numPr>
        <w:bidi w:val="0"/>
        <w:jc w:val="left"/>
        <w:rPr/>
      </w:pPr>
      <w:r>
        <w:rPr/>
        <w:t>Scott Rich, MTA President, Scottish Rite Assistant Personal Rep</w:t>
      </w:r>
    </w:p>
    <w:p>
      <w:pPr>
        <w:pStyle w:val="BodyText"/>
        <w:numPr>
          <w:ilvl w:val="0"/>
          <w:numId w:val="3"/>
        </w:numPr>
        <w:bidi w:val="0"/>
        <w:jc w:val="left"/>
        <w:rPr/>
      </w:pPr>
      <w:r>
        <w:rPr/>
        <w:t>Tom Polzin, Scottish Rite KSA Excellent Master, Macalester 290</w:t>
      </w:r>
    </w:p>
    <w:p>
      <w:pPr>
        <w:pStyle w:val="Heading1"/>
        <w:numPr>
          <w:ilvl w:val="0"/>
          <w:numId w:val="2"/>
        </w:numPr>
        <w:bidi w:val="0"/>
        <w:ind w:hanging="0" w:left="0"/>
        <w:jc w:val="left"/>
        <w:rPr/>
      </w:pPr>
      <w:r>
        <w:rPr/>
      </w:r>
    </w:p>
    <w:p>
      <w:pPr>
        <w:pStyle w:val="Heading1"/>
        <w:numPr>
          <w:ilvl w:val="0"/>
          <w:numId w:val="2"/>
        </w:numPr>
        <w:bidi w:val="0"/>
        <w:ind w:hanging="0" w:left="0"/>
        <w:jc w:val="left"/>
        <w:rPr/>
      </w:pPr>
      <w:r>
        <w:rPr/>
        <w:t>Methodology</w:t>
      </w:r>
    </w:p>
    <w:p>
      <w:pPr>
        <w:pStyle w:val="BodyText"/>
        <w:numPr>
          <w:ilvl w:val="0"/>
          <w:numId w:val="4"/>
        </w:numPr>
        <w:bidi w:val="0"/>
        <w:jc w:val="left"/>
        <w:rPr/>
      </w:pPr>
      <w:r>
        <w:rPr/>
        <w:t xml:space="preserve">Draft </w:t>
      </w:r>
      <w:r>
        <w:rPr/>
        <w:t xml:space="preserve">preliminary </w:t>
      </w:r>
      <w:r>
        <w:rPr/>
        <w:t>Memo of Understanding describing equipment ownership and governing principles regarding on-going usage and system maintenance.</w:t>
      </w:r>
    </w:p>
    <w:p>
      <w:pPr>
        <w:pStyle w:val="BodyText"/>
        <w:numPr>
          <w:ilvl w:val="0"/>
          <w:numId w:val="4"/>
        </w:numPr>
        <w:bidi w:val="0"/>
        <w:jc w:val="left"/>
        <w:rPr/>
      </w:pPr>
      <w:r>
        <w:rPr/>
        <w:t>Draft a complete inventory of current equipment including infrastructure such as wires and connection plates.</w:t>
      </w:r>
    </w:p>
    <w:p>
      <w:pPr>
        <w:pStyle w:val="BodyText"/>
        <w:numPr>
          <w:ilvl w:val="0"/>
          <w:numId w:val="4"/>
        </w:numPr>
        <w:bidi w:val="0"/>
        <w:jc w:val="left"/>
        <w:rPr/>
      </w:pPr>
      <w:r>
        <w:rPr/>
        <w:t xml:space="preserve">Perform a </w:t>
      </w:r>
      <w:r>
        <w:rPr/>
        <w:t>“To-be” sound system analysis</w:t>
      </w:r>
    </w:p>
    <w:p>
      <w:pPr>
        <w:pStyle w:val="BodyText"/>
        <w:numPr>
          <w:ilvl w:val="1"/>
          <w:numId w:val="4"/>
        </w:numPr>
        <w:bidi w:val="0"/>
        <w:jc w:val="left"/>
        <w:rPr>
          <w:b/>
          <w:bCs/>
        </w:rPr>
      </w:pPr>
      <w:r>
        <w:rPr>
          <w:b/>
          <w:bCs/>
        </w:rPr>
        <w:t>Analyze current equipment to determine which equipment is OK to keep using.</w:t>
      </w:r>
    </w:p>
    <w:p>
      <w:pPr>
        <w:pStyle w:val="BodyText"/>
        <w:numPr>
          <w:ilvl w:val="1"/>
          <w:numId w:val="4"/>
        </w:numPr>
        <w:bidi w:val="0"/>
        <w:jc w:val="left"/>
        <w:rPr>
          <w:b/>
          <w:bCs/>
        </w:rPr>
      </w:pPr>
      <w:r>
        <w:rPr>
          <w:b/>
          <w:bCs/>
        </w:rPr>
        <w:t xml:space="preserve">Propose new/replacement equipment. </w:t>
      </w:r>
    </w:p>
    <w:p>
      <w:pPr>
        <w:pStyle w:val="BodyText"/>
        <w:numPr>
          <w:ilvl w:val="0"/>
          <w:numId w:val="4"/>
        </w:numPr>
        <w:bidi w:val="0"/>
        <w:jc w:val="left"/>
        <w:rPr/>
      </w:pPr>
      <w:r>
        <w:rPr/>
        <w:t>Present recommendations to key stakeholder groups (MTA, SR, AL5)</w:t>
      </w:r>
    </w:p>
    <w:p>
      <w:pPr>
        <w:pStyle w:val="BodyText"/>
        <w:numPr>
          <w:ilvl w:val="0"/>
          <w:numId w:val="4"/>
        </w:numPr>
        <w:bidi w:val="0"/>
        <w:jc w:val="left"/>
        <w:rPr/>
      </w:pPr>
      <w:r>
        <w:rPr/>
        <w:t>Secure funding</w:t>
      </w:r>
    </w:p>
    <w:p>
      <w:pPr>
        <w:pStyle w:val="BodyText"/>
        <w:numPr>
          <w:ilvl w:val="0"/>
          <w:numId w:val="4"/>
        </w:numPr>
        <w:bidi w:val="0"/>
        <w:jc w:val="left"/>
        <w:rPr/>
      </w:pPr>
      <w:r>
        <w:rPr/>
        <w:t>Purchase and install equipment</w:t>
      </w:r>
    </w:p>
    <w:p>
      <w:pPr>
        <w:pStyle w:val="BodyText"/>
        <w:bidi w:val="0"/>
        <w:jc w:val="left"/>
        <w:rPr/>
      </w:pPr>
      <w:r>
        <w:rPr/>
      </w:r>
    </w:p>
    <w:p>
      <w:pPr>
        <w:pStyle w:val="Heading1"/>
        <w:numPr>
          <w:ilvl w:val="0"/>
          <w:numId w:val="2"/>
        </w:numPr>
        <w:ind w:hanging="0" w:left="0"/>
        <w:rPr/>
      </w:pPr>
      <w:r>
        <w:rPr/>
        <w:t>Work P</w:t>
      </w:r>
      <w:r>
        <w:rPr/>
        <w:t>roducts</w:t>
      </w:r>
    </w:p>
    <w:p>
      <w:pPr>
        <w:pStyle w:val="BodyText"/>
        <w:rPr/>
      </w:pPr>
      <w:r>
        <w:rPr/>
        <w:t xml:space="preserve">The Task Force has completed its analysis and finalized its recommendations.   At the time of the publishing of this report, agreement has been reached on the specific equipment to be purchased, funding mechanism, installation plan, and governance.   All of these are documented in the </w:t>
      </w:r>
      <w:r>
        <w:rPr>
          <w:b/>
          <w:bCs/>
        </w:rPr>
        <w:t xml:space="preserve">work products, </w:t>
      </w:r>
      <w:r>
        <w:rPr>
          <w:b w:val="false"/>
          <w:bCs w:val="false"/>
        </w:rPr>
        <w:t>hereby incorporated by reference:</w:t>
      </w:r>
    </w:p>
    <w:p>
      <w:pPr>
        <w:pStyle w:val="BodyText"/>
        <w:numPr>
          <w:ilvl w:val="0"/>
          <w:numId w:val="6"/>
        </w:numPr>
        <w:rPr/>
      </w:pPr>
      <w:r>
        <w:rPr>
          <w:b w:val="false"/>
          <w:bCs w:val="false"/>
        </w:rPr>
        <w:t>Final Report itself (this document)</w:t>
      </w:r>
    </w:p>
    <w:p>
      <w:pPr>
        <w:pStyle w:val="BodyText"/>
        <w:numPr>
          <w:ilvl w:val="0"/>
          <w:numId w:val="6"/>
        </w:numPr>
        <w:rPr/>
      </w:pPr>
      <w:r>
        <w:rPr>
          <w:b w:val="false"/>
          <w:bCs w:val="false"/>
        </w:rPr>
        <w:t>Task Force Final Recommendations</w:t>
      </w:r>
    </w:p>
    <w:p>
      <w:pPr>
        <w:pStyle w:val="BodyText"/>
        <w:numPr>
          <w:ilvl w:val="0"/>
          <w:numId w:val="6"/>
        </w:numPr>
        <w:rPr/>
      </w:pPr>
      <w:r>
        <w:rPr>
          <w:b w:val="false"/>
          <w:bCs w:val="false"/>
        </w:rPr>
        <w:t>Metro Sound quote for new equipment</w:t>
      </w:r>
    </w:p>
    <w:p>
      <w:pPr>
        <w:pStyle w:val="BodyText"/>
        <w:numPr>
          <w:ilvl w:val="0"/>
          <w:numId w:val="6"/>
        </w:numPr>
        <w:rPr/>
      </w:pPr>
      <w:r>
        <w:rPr>
          <w:b w:val="false"/>
          <w:bCs w:val="false"/>
        </w:rPr>
        <w:t>“</w:t>
      </w:r>
      <w:r>
        <w:rPr>
          <w:b w:val="false"/>
          <w:bCs w:val="false"/>
        </w:rPr>
        <w:t>To Be” schematic diagram</w:t>
      </w:r>
    </w:p>
    <w:p>
      <w:pPr>
        <w:pStyle w:val="BodyText"/>
        <w:numPr>
          <w:ilvl w:val="0"/>
          <w:numId w:val="6"/>
        </w:numPr>
        <w:rPr/>
      </w:pPr>
      <w:r>
        <w:rPr>
          <w:b w:val="false"/>
          <w:bCs w:val="false"/>
        </w:rPr>
        <w:t>Initial list of existing equipment</w:t>
      </w:r>
    </w:p>
    <w:p>
      <w:pPr>
        <w:pStyle w:val="BodyText"/>
        <w:bidi w:val="0"/>
        <w:spacing w:before="0" w:after="140"/>
        <w:jc w:val="left"/>
        <w:rPr/>
      </w:pPr>
      <w:r>
        <w:rPr/>
      </w:r>
    </w:p>
    <w:sectPr>
      <w:type w:val="nextPage"/>
      <w:pgSz w:w="12240" w:h="15840"/>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auto"/>
    <w:pitch w:val="variable"/>
  </w:font>
  <w:font w:name="Liberation Sans">
    <w:altName w:val="Arial"/>
    <w:charset w:val="00"/>
    <w:family w:val="swiss"/>
    <w:pitch w:val="variable"/>
  </w:font>
  <w:font w:name="OpenSymbol">
    <w:altName w:val="Arial Unicode MS"/>
    <w:charset w:val="01"/>
    <w:family w:val="auto"/>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709"/>
  <w:mailMerge>
    <w:mainDocumentType w:val="formLetters"/>
    <w:dataType w:val="textFile"/>
    <w:query w:val="SELECT * FROM Addresses.dbo.2023 Master$"/>
  </w:mailMerge>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en-US" w:eastAsia="zh-CN" w:bidi="hi-IN"/>
    </w:rPr>
  </w:style>
  <w:style w:type="paragraph" w:styleId="Heading1">
    <w:name w:val="heading 1"/>
    <w:basedOn w:val="Heading"/>
    <w:next w:val="BodyText"/>
    <w:qFormat/>
    <w:pPr>
      <w:numPr>
        <w:ilvl w:val="0"/>
        <w:numId w:val="2"/>
      </w:numPr>
      <w:spacing w:before="240" w:after="120"/>
      <w:outlineLvl w:val="0"/>
    </w:pPr>
    <w:rPr>
      <w:b/>
      <w:bCs/>
      <w:sz w:val="36"/>
      <w:szCs w:val="36"/>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130</TotalTime>
  <Application>LibreOffice/24.8.5.2$Windows_X86_64 LibreOffice_project/fddf2685c70b461e7832239a0162a77216259f22</Application>
  <AppVersion>15.0000</AppVersion>
  <Pages>2</Pages>
  <Words>383</Words>
  <Characters>2153</Characters>
  <CharactersWithSpaces>2491</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2025-04-02T07:48:53Z</dcterms:created>
  <dc:creator/>
  <dc:description/>
  <dc:language>en-US</dc:language>
  <cp:lastModifiedBy/>
  <dcterms:modified xsi:type="dcterms:W3CDTF">2025-04-14T20:21:47Z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file>